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390"/>
        <w:gridCol w:w="3436"/>
      </w:tblGrid>
      <w:tr w:rsidR="00502CF5" w:rsidTr="00BC7CD6">
        <w:tc>
          <w:tcPr>
            <w:tcW w:w="6390" w:type="dxa"/>
          </w:tcPr>
          <w:p w:rsidR="00502CF5" w:rsidRDefault="00BC7CD6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</w:t>
            </w:r>
            <w:r w:rsidR="00E134F3">
              <w:rPr>
                <w:szCs w:val="24"/>
                <w:lang w:eastAsia="lt-LT"/>
              </w:rPr>
              <w:t xml:space="preserve">         </w:t>
            </w:r>
            <w:r>
              <w:rPr>
                <w:szCs w:val="24"/>
                <w:lang w:eastAsia="lt-LT"/>
              </w:rPr>
              <w:t>APLINKOS APSAUGOS AGENTŪRA</w:t>
            </w:r>
          </w:p>
        </w:tc>
        <w:tc>
          <w:tcPr>
            <w:tcW w:w="3436" w:type="dxa"/>
          </w:tcPr>
          <w:p w:rsidR="00502CF5" w:rsidRDefault="00502CF5" w:rsidP="00BC7CD6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 (</w:t>
      </w:r>
      <w:r>
        <w:rPr>
          <w:i/>
          <w:szCs w:val="24"/>
          <w:lang w:eastAsia="lt-LT"/>
        </w:rPr>
        <w:t>didžiosiomis raidėmis</w:t>
      </w:r>
      <w:r>
        <w:rPr>
          <w:szCs w:val="24"/>
          <w:lang w:eastAsia="lt-LT"/>
        </w:rPr>
        <w:t>))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BC7CD6">
        <w:rPr>
          <w:b/>
          <w:szCs w:val="24"/>
          <w:lang w:eastAsia="lt-LT"/>
        </w:rPr>
        <w:t xml:space="preserve"> </w:t>
      </w:r>
      <w:r w:rsidR="00BC7CD6" w:rsidRPr="00BC7CD6">
        <w:rPr>
          <w:b/>
          <w:szCs w:val="24"/>
          <w:u w:val="single"/>
          <w:lang w:eastAsia="lt-LT"/>
        </w:rPr>
        <w:t>TL-M.</w:t>
      </w:r>
      <w:r w:rsidR="00FB7767">
        <w:rPr>
          <w:b/>
          <w:szCs w:val="24"/>
          <w:u w:val="single"/>
          <w:lang w:eastAsia="lt-LT"/>
        </w:rPr>
        <w:t>3</w:t>
      </w:r>
      <w:r w:rsidR="00BC7CD6" w:rsidRPr="00BC7CD6">
        <w:rPr>
          <w:b/>
          <w:szCs w:val="24"/>
          <w:u w:val="single"/>
          <w:lang w:eastAsia="lt-LT"/>
        </w:rPr>
        <w:t>-5</w:t>
      </w:r>
      <w:r w:rsidR="00FB7767">
        <w:rPr>
          <w:b/>
          <w:szCs w:val="24"/>
          <w:u w:val="single"/>
          <w:lang w:eastAsia="lt-LT"/>
        </w:rPr>
        <w:t>3</w:t>
      </w:r>
      <w:r w:rsidR="00BC7CD6" w:rsidRPr="00BC7CD6">
        <w:rPr>
          <w:b/>
          <w:szCs w:val="24"/>
          <w:u w:val="single"/>
          <w:lang w:eastAsia="lt-LT"/>
        </w:rPr>
        <w:t>/2016</w:t>
      </w:r>
      <w:r>
        <w:rPr>
          <w:b/>
          <w:szCs w:val="24"/>
          <w:lang w:eastAsia="lt-LT"/>
        </w:rPr>
        <w:t>_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FA6952">
        <w:rPr>
          <w:szCs w:val="24"/>
          <w:lang w:eastAsia="lt-LT"/>
        </w:rPr>
        <w:t>3</w:t>
      </w:r>
      <w:r>
        <w:rPr>
          <w:szCs w:val="24"/>
          <w:lang w:eastAsia="lt-LT"/>
        </w:rPr>
        <w:t>] [</w:t>
      </w:r>
      <w:r w:rsidR="00FA6952">
        <w:rPr>
          <w:szCs w:val="24"/>
          <w:lang w:eastAsia="lt-LT"/>
        </w:rPr>
        <w:t>0</w:t>
      </w:r>
      <w:r>
        <w:rPr>
          <w:szCs w:val="24"/>
          <w:lang w:eastAsia="lt-LT"/>
        </w:rPr>
        <w:t>] [</w:t>
      </w:r>
      <w:r w:rsidR="00FB7767">
        <w:rPr>
          <w:szCs w:val="24"/>
          <w:lang w:eastAsia="lt-LT"/>
        </w:rPr>
        <w:t>4</w:t>
      </w:r>
      <w:r w:rsidR="00BC7CD6">
        <w:rPr>
          <w:szCs w:val="24"/>
          <w:lang w:eastAsia="lt-LT"/>
        </w:rPr>
        <w:t>] [</w:t>
      </w:r>
      <w:r w:rsidR="00FB7767">
        <w:rPr>
          <w:szCs w:val="24"/>
          <w:lang w:eastAsia="lt-LT"/>
        </w:rPr>
        <w:t>2</w:t>
      </w:r>
      <w:r>
        <w:rPr>
          <w:szCs w:val="24"/>
          <w:lang w:eastAsia="lt-LT"/>
        </w:rPr>
        <w:t>] [</w:t>
      </w:r>
      <w:r w:rsidR="00FB7767">
        <w:rPr>
          <w:szCs w:val="24"/>
          <w:lang w:eastAsia="lt-LT"/>
        </w:rPr>
        <w:t>7</w:t>
      </w:r>
      <w:r>
        <w:rPr>
          <w:szCs w:val="24"/>
          <w:lang w:eastAsia="lt-LT"/>
        </w:rPr>
        <w:t>] [</w:t>
      </w:r>
      <w:r w:rsidR="00FB7767">
        <w:rPr>
          <w:szCs w:val="24"/>
          <w:lang w:eastAsia="lt-LT"/>
        </w:rPr>
        <w:t>9</w:t>
      </w:r>
      <w:r>
        <w:rPr>
          <w:szCs w:val="24"/>
          <w:lang w:eastAsia="lt-LT"/>
        </w:rPr>
        <w:t>] [</w:t>
      </w:r>
      <w:r w:rsidR="00FB7767">
        <w:rPr>
          <w:szCs w:val="24"/>
          <w:lang w:eastAsia="lt-LT"/>
        </w:rPr>
        <w:t>5</w:t>
      </w:r>
      <w:r>
        <w:rPr>
          <w:szCs w:val="24"/>
          <w:lang w:eastAsia="lt-LT"/>
        </w:rPr>
        <w:t>] [</w:t>
      </w:r>
      <w:r w:rsidR="00FB7767">
        <w:rPr>
          <w:szCs w:val="24"/>
          <w:lang w:eastAsia="lt-LT"/>
        </w:rPr>
        <w:t>0</w:t>
      </w:r>
      <w:r>
        <w:rPr>
          <w:szCs w:val="24"/>
          <w:lang w:eastAsia="lt-LT"/>
        </w:rPr>
        <w:t>] [</w:t>
      </w:r>
      <w:r w:rsidR="00FB7767">
        <w:rPr>
          <w:szCs w:val="24"/>
          <w:lang w:eastAsia="lt-LT"/>
        </w:rPr>
        <w:t>4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BC7CD6" w:rsidRDefault="00BC7CD6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502CF5" w:rsidRPr="00FA6952" w:rsidRDefault="00FA6952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UAB „</w:t>
      </w:r>
      <w:proofErr w:type="spellStart"/>
      <w:r w:rsidR="00FB7767">
        <w:rPr>
          <w:szCs w:val="24"/>
          <w:lang w:eastAsia="lt-LT"/>
        </w:rPr>
        <w:t>Damabava</w:t>
      </w:r>
      <w:proofErr w:type="spellEnd"/>
      <w:r>
        <w:rPr>
          <w:szCs w:val="24"/>
          <w:lang w:eastAsia="lt-LT"/>
        </w:rPr>
        <w:t xml:space="preserve">“ </w:t>
      </w:r>
      <w:r w:rsidR="00FB7767">
        <w:rPr>
          <w:szCs w:val="24"/>
          <w:lang w:eastAsia="lt-LT"/>
        </w:rPr>
        <w:t xml:space="preserve">eksploatuoti netinkamų transporto priemonių demontavimo ir saugojimo dirbtuvės </w:t>
      </w:r>
      <w:proofErr w:type="spellStart"/>
      <w:r w:rsidR="00FB7767">
        <w:rPr>
          <w:szCs w:val="24"/>
          <w:lang w:eastAsia="lt-LT"/>
        </w:rPr>
        <w:t>Vyšnialaukio</w:t>
      </w:r>
      <w:proofErr w:type="spellEnd"/>
      <w:r w:rsidR="00FB7767">
        <w:rPr>
          <w:szCs w:val="24"/>
          <w:lang w:eastAsia="lt-LT"/>
        </w:rPr>
        <w:t xml:space="preserve"> g. 9, Parašinės k., Marijampolės sen., Marijampolės sav.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(ūkinės veiklos objekto pavadinimas, adresas)</w:t>
      </w:r>
    </w:p>
    <w:p w:rsidR="00502CF5" w:rsidRDefault="00502CF5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FB7767" w:rsidRDefault="00FA6952" w:rsidP="00FA6952">
      <w:pPr>
        <w:pBdr>
          <w:bottom w:val="single" w:sz="12" w:space="1" w:color="auto"/>
        </w:pBdr>
      </w:pPr>
      <w:r>
        <w:t>UAB „</w:t>
      </w:r>
      <w:r w:rsidR="00FB7767">
        <w:t>Dambava“  Marijampolės g. 26</w:t>
      </w:r>
      <w:r>
        <w:t>,</w:t>
      </w:r>
      <w:r w:rsidR="00FB7767">
        <w:t xml:space="preserve"> Patašinės k., Marijampolės sen., Marijampolės sav.,</w:t>
      </w:r>
      <w:r>
        <w:t xml:space="preserve"> </w:t>
      </w:r>
    </w:p>
    <w:p w:rsidR="00502CF5" w:rsidRPr="00BC7CD6" w:rsidRDefault="00FA6952" w:rsidP="00FA6952">
      <w:pPr>
        <w:pBdr>
          <w:bottom w:val="single" w:sz="12" w:space="1" w:color="auto"/>
        </w:pBdr>
        <w:rPr>
          <w:szCs w:val="24"/>
          <w:lang w:val="en-US" w:eastAsia="lt-LT"/>
        </w:rPr>
      </w:pPr>
      <w:r>
        <w:t>tel.: 8 6</w:t>
      </w:r>
      <w:r w:rsidR="00FB7767">
        <w:t>58</w:t>
      </w:r>
      <w:r>
        <w:t xml:space="preserve"> </w:t>
      </w:r>
      <w:r w:rsidR="00FB7767">
        <w:t>55779</w:t>
      </w:r>
      <w:r>
        <w:t xml:space="preserve">, el. p.:  </w:t>
      </w:r>
      <w:hyperlink r:id="rId7" w:history="1">
        <w:r w:rsidR="00FB7767" w:rsidRPr="002F7576">
          <w:rPr>
            <w:rStyle w:val="Hyperlink"/>
          </w:rPr>
          <w:t>uabdambava@gmail.com</w:t>
        </w:r>
      </w:hyperlink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1. Specialioji (-</w:t>
      </w:r>
      <w:proofErr w:type="spellStart"/>
      <w:r>
        <w:rPr>
          <w:szCs w:val="24"/>
          <w:lang w:eastAsia="lt-LT"/>
        </w:rPr>
        <w:t>iosios</w:t>
      </w:r>
      <w:proofErr w:type="spellEnd"/>
      <w:r>
        <w:rPr>
          <w:szCs w:val="24"/>
          <w:lang w:eastAsia="lt-LT"/>
        </w:rPr>
        <w:t>) dalis (-</w:t>
      </w:r>
      <w:proofErr w:type="spellStart"/>
      <w:r>
        <w:rPr>
          <w:szCs w:val="24"/>
          <w:lang w:eastAsia="lt-LT"/>
        </w:rPr>
        <w:t>ys</w:t>
      </w:r>
      <w:proofErr w:type="spellEnd"/>
      <w:r>
        <w:rPr>
          <w:szCs w:val="24"/>
          <w:lang w:eastAsia="lt-LT"/>
        </w:rPr>
        <w:t>):</w:t>
      </w:r>
      <w:r w:rsidR="00BC7CD6">
        <w:rPr>
          <w:szCs w:val="24"/>
          <w:lang w:eastAsia="lt-LT"/>
        </w:rPr>
        <w:t xml:space="preserve"> 3.1. apdorojamos atliekos (naudojamos ar šalinamos, įskaitant paruošimą naudoti ar šalinti), išskyrus</w:t>
      </w:r>
      <w:r w:rsidR="003D596D">
        <w:rPr>
          <w:szCs w:val="24"/>
          <w:lang w:eastAsia="lt-LT"/>
        </w:rPr>
        <w:t xml:space="preserve"> atvejus, kai vadovaujantis Taršos integruotos prevencijos ir kontrolės leidimų išdavimo, pakeitimo ir panaikinimo taisyklių, patvirtintų Lietuvos Respublikos aplinkos ministro 2013 m. liepos 15 m. įsakymu Nr. D1-528 „Dėl Taršos integruotos prevencijos ir kontrolės leidimų išdavimo, pakeitimo ir  galiojimo panaikinimo taisyklių patvirtinimo“, 1 priedu tokiai veiklai reikia turėti Taršos integruotos prevencijos ir kontrolės leidimą.</w:t>
      </w:r>
    </w:p>
    <w:p w:rsidR="003D596D" w:rsidRDefault="003D596D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2. Iki leidimo pakeitimo galiojusio TIPK leidimo (jei toks buvo išduotas) registracijos numeris, jį išdavusio regiono aplinkos apsaugos departamento pavadinimas, išdavimo, atnaujinimo ir (ar) koregavimo (jeigu tokie buvo) datos</w:t>
      </w:r>
      <w:r w:rsidR="003D596D">
        <w:rPr>
          <w:szCs w:val="24"/>
          <w:lang w:eastAsia="lt-LT"/>
        </w:rPr>
        <w:t>: -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Išduotas </w:t>
      </w:r>
      <w:r w:rsidR="003D596D">
        <w:rPr>
          <w:szCs w:val="24"/>
          <w:lang w:eastAsia="lt-LT"/>
        </w:rPr>
        <w:t xml:space="preserve">        2016  </w:t>
      </w:r>
      <w:r>
        <w:rPr>
          <w:szCs w:val="24"/>
          <w:lang w:eastAsia="lt-LT"/>
        </w:rPr>
        <w:t xml:space="preserve"> m. </w:t>
      </w:r>
      <w:r w:rsidR="003D596D">
        <w:rPr>
          <w:szCs w:val="24"/>
          <w:lang w:eastAsia="lt-LT"/>
        </w:rPr>
        <w:t xml:space="preserve">    </w:t>
      </w:r>
      <w:r w:rsidR="00FB7767">
        <w:rPr>
          <w:szCs w:val="24"/>
          <w:lang w:eastAsia="lt-LT"/>
        </w:rPr>
        <w:t>liepos</w:t>
      </w:r>
      <w:r w:rsidR="003D596D">
        <w:rPr>
          <w:szCs w:val="24"/>
          <w:lang w:eastAsia="lt-LT"/>
        </w:rPr>
        <w:t xml:space="preserve">             </w:t>
      </w:r>
      <w:r>
        <w:rPr>
          <w:szCs w:val="24"/>
          <w:lang w:eastAsia="lt-LT"/>
        </w:rPr>
        <w:t>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 ................. m. ..................................... 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3D596D" w:rsidRDefault="003D596D" w:rsidP="003D596D">
      <w:pPr>
        <w:tabs>
          <w:tab w:val="right" w:pos="9071"/>
        </w:tabs>
      </w:pPr>
      <w:r>
        <w:t xml:space="preserve">Direktoriaus įgaliota </w:t>
      </w:r>
    </w:p>
    <w:p w:rsidR="003D596D" w:rsidRDefault="003D596D" w:rsidP="003D596D">
      <w:pPr>
        <w:tabs>
          <w:tab w:val="right" w:pos="9071"/>
        </w:tabs>
      </w:pPr>
      <w:r>
        <w:t>Poveikio aplinkai vertinimo</w:t>
      </w:r>
    </w:p>
    <w:p w:rsidR="003D596D" w:rsidRPr="0028505A" w:rsidRDefault="003D596D" w:rsidP="003D596D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3D596D" w:rsidRDefault="003D596D" w:rsidP="003D596D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</w:t>
      </w:r>
      <w:r w:rsidRPr="0028505A">
        <w:rPr>
          <w:sz w:val="20"/>
        </w:rPr>
        <w:t>(parašas)</w:t>
      </w:r>
    </w:p>
    <w:p w:rsidR="003D596D" w:rsidRDefault="003D596D" w:rsidP="003D596D">
      <w:pPr>
        <w:tabs>
          <w:tab w:val="right" w:pos="8040"/>
        </w:tabs>
        <w:ind w:left="1920"/>
        <w:rPr>
          <w:sz w:val="20"/>
        </w:rPr>
      </w:pPr>
    </w:p>
    <w:p w:rsidR="003D596D" w:rsidRPr="0028505A" w:rsidRDefault="003D596D" w:rsidP="003D596D">
      <w:pPr>
        <w:tabs>
          <w:tab w:val="right" w:pos="8040"/>
        </w:tabs>
        <w:ind w:left="1920"/>
        <w:rPr>
          <w:sz w:val="20"/>
        </w:rPr>
      </w:pPr>
    </w:p>
    <w:p w:rsidR="00502CF5" w:rsidRDefault="003D596D" w:rsidP="00502CF5">
      <w:r>
        <w:t xml:space="preserve">                                                                                                                                     A.V.</w:t>
      </w:r>
    </w:p>
    <w:p w:rsidR="00502CF5" w:rsidRDefault="00502CF5" w:rsidP="00502CF5">
      <w:pPr>
        <w:spacing w:line="300" w:lineRule="atLeast"/>
        <w:ind w:left="10368"/>
        <w:sectPr w:rsidR="00502CF5">
          <w:headerReference w:type="default" r:id="rId8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lastRenderedPageBreak/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center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757EE1" w:rsidRDefault="00757EE1" w:rsidP="00502CF5">
      <w:pPr>
        <w:ind w:firstLine="567"/>
        <w:jc w:val="center"/>
        <w:rPr>
          <w:rFonts w:eastAsia="Calibri"/>
          <w:b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NEPAVOJINGOSIOS ATLIEKOS</w:t>
      </w:r>
    </w:p>
    <w:p w:rsidR="00502CF5" w:rsidRDefault="00502CF5" w:rsidP="00502CF5">
      <w:pPr>
        <w:ind w:firstLine="567"/>
        <w:rPr>
          <w:rFonts w:eastAsia="Calibri"/>
          <w:szCs w:val="24"/>
        </w:rPr>
      </w:pPr>
    </w:p>
    <w:p w:rsidR="00623C3A" w:rsidRDefault="00623C3A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nepavojingųjų atliekų kiekis.</w:t>
      </w:r>
    </w:p>
    <w:p w:rsidR="00FA6952" w:rsidRDefault="00FA6952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FA6952">
        <w:rPr>
          <w:rFonts w:eastAsia="Calibri"/>
          <w:szCs w:val="24"/>
          <w:u w:val="single"/>
        </w:rPr>
        <w:t>UAB „</w:t>
      </w:r>
      <w:r w:rsidR="00FB7767">
        <w:rPr>
          <w:rFonts w:eastAsia="Calibri"/>
          <w:szCs w:val="24"/>
          <w:u w:val="single"/>
        </w:rPr>
        <w:t>Dambava</w:t>
      </w:r>
      <w:r w:rsidR="00FA6952">
        <w:rPr>
          <w:rFonts w:eastAsia="Calibri"/>
          <w:szCs w:val="24"/>
          <w:u w:val="single"/>
        </w:rPr>
        <w:t xml:space="preserve">“ </w:t>
      </w:r>
      <w:r w:rsidR="00FB7767">
        <w:rPr>
          <w:rFonts w:eastAsia="Calibri"/>
          <w:szCs w:val="24"/>
          <w:u w:val="single"/>
        </w:rPr>
        <w:t>eksploatuoti netinkamų transporto priemonių demontavimo ir saugojimo dirbtuvės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FB7767" w:rsidRDefault="00FB7767" w:rsidP="00502CF5">
      <w:pPr>
        <w:rPr>
          <w:rFonts w:eastAsia="Calibri"/>
          <w:szCs w:val="24"/>
        </w:rPr>
      </w:pPr>
    </w:p>
    <w:tbl>
      <w:tblPr>
        <w:tblW w:w="14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2835"/>
        <w:gridCol w:w="3544"/>
        <w:gridCol w:w="2410"/>
        <w:gridCol w:w="1984"/>
        <w:gridCol w:w="2410"/>
      </w:tblGrid>
      <w:tr w:rsidR="00FB7767" w:rsidTr="009268CA">
        <w:trPr>
          <w:cantSplit/>
        </w:trPr>
        <w:tc>
          <w:tcPr>
            <w:tcW w:w="7462" w:type="dxa"/>
            <w:gridSpan w:val="3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</w:t>
            </w:r>
          </w:p>
        </w:tc>
        <w:tc>
          <w:tcPr>
            <w:tcW w:w="4394" w:type="dxa"/>
            <w:gridSpan w:val="2"/>
            <w:tcMar>
              <w:left w:w="57" w:type="dxa"/>
              <w:right w:w="57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FB7767" w:rsidTr="009268CA">
        <w:trPr>
          <w:cantSplit/>
          <w:trHeight w:val="855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Kodas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Pavadinimas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pavadinimas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Didžiausias vienu metu leidžiamas laikyti bendras atliekų, įskaitant apdorojimo metu susidarančių atliekų, kiekis, t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FB7767" w:rsidTr="009268CA">
        <w:trPr>
          <w:cantSplit/>
          <w:trHeight w:val="3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5528B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9268CA" w:rsidRPr="00E134F3" w:rsidTr="00022E90">
        <w:trPr>
          <w:cantSplit/>
          <w:trHeight w:val="243"/>
        </w:trPr>
        <w:tc>
          <w:tcPr>
            <w:tcW w:w="14266" w:type="dxa"/>
            <w:gridSpan w:val="6"/>
            <w:tcMar>
              <w:left w:w="57" w:type="dxa"/>
              <w:right w:w="57" w:type="dxa"/>
            </w:tcMar>
            <w:vAlign w:val="center"/>
          </w:tcPr>
          <w:p w:rsidR="009268CA" w:rsidRPr="00E134F3" w:rsidRDefault="009268CA" w:rsidP="009268CA">
            <w:pPr>
              <w:jc w:val="center"/>
              <w:rPr>
                <w:rFonts w:eastAsia="Calibri"/>
                <w:szCs w:val="22"/>
              </w:rPr>
            </w:pPr>
            <w:r w:rsidRPr="00E134F3">
              <w:rPr>
                <w:rFonts w:eastAsia="Calibri"/>
                <w:szCs w:val="22"/>
              </w:rPr>
              <w:t>Veiklos metu susidarančios ir laikomos nepavojingos atliekos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16 01 03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Naudotos padangos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Naudotos padangos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R13 – R1-R12 veiklomis naudoti skirtų atliekų laikymas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16 01 17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Juodieji metalai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Juodieji metalai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16 01 18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Spalvotieji metalai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Spalvotieji metalai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0,4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16 01 19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Plastikai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Plastikai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16 01 20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Stiklas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Stiklas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R5,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Stabdžių trinkelės, nenurodytos 16 01 11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Stabdžių trinkelės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0,04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R4, R12</w:t>
            </w:r>
          </w:p>
        </w:tc>
      </w:tr>
      <w:tr w:rsidR="00692297" w:rsidTr="00692297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16 08 01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Panaudoti katalizatoriai, kuriuose yra aukso, sidabro, renio, rodžio, paladžio, iridžio arba platinos (išskyrus 16 07 08)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Panaudoti katalizatoriai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</w:p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R8, R12</w:t>
            </w:r>
          </w:p>
        </w:tc>
      </w:tr>
      <w:tr w:rsidR="00692297" w:rsidTr="00692297">
        <w:trPr>
          <w:cantSplit/>
          <w:trHeight w:val="243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5528B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16 01 22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Kitaip neapibrėžtos sudedamosios dalys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Autolaidai</w:t>
            </w:r>
            <w:proofErr w:type="spellEnd"/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</w:tc>
      </w:tr>
      <w:tr w:rsidR="00692297" w:rsidTr="009268CA">
        <w:trPr>
          <w:cantSplit/>
          <w:trHeight w:val="243"/>
        </w:trPr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2297" w:rsidRDefault="00692297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2297" w:rsidRDefault="00692297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Kitaip neapibrėžtos sudedamosios dalys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Gumos</w:t>
            </w: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92297" w:rsidRDefault="00692297" w:rsidP="0046294D">
            <w:pPr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92297" w:rsidRDefault="00692297" w:rsidP="009268C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92297" w:rsidRDefault="00692297" w:rsidP="00692297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</w:tc>
      </w:tr>
    </w:tbl>
    <w:p w:rsidR="00FA6952" w:rsidRDefault="00FA6952" w:rsidP="00502CF5">
      <w:pPr>
        <w:rPr>
          <w:rFonts w:eastAsia="Calibri"/>
          <w:szCs w:val="24"/>
        </w:rPr>
      </w:pPr>
    </w:p>
    <w:p w:rsidR="00FB7767" w:rsidRDefault="00FB7767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sz w:val="10"/>
          <w:szCs w:val="10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2 lentelė</w:t>
      </w:r>
      <w:r>
        <w:rPr>
          <w:rFonts w:eastAsia="Calibri"/>
          <w:szCs w:val="24"/>
        </w:rPr>
        <w:t>. Didžiausias leidžiamas laikyti nepavojingųjų atliekų kiekis jų susidarymo vietoje iki surinkimo (S8).</w:t>
      </w:r>
    </w:p>
    <w:p w:rsidR="00502CF5" w:rsidRDefault="00623C3A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623C3A">
        <w:rPr>
          <w:rFonts w:eastAsia="Calibri"/>
          <w:szCs w:val="24"/>
        </w:rPr>
        <w:t>Lentelė nepildoma, nes atliekos nebus laikomos.</w:t>
      </w:r>
    </w:p>
    <w:p w:rsidR="00623C3A" w:rsidRPr="00623C3A" w:rsidRDefault="00623C3A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3 lentelė</w:t>
      </w:r>
      <w:r>
        <w:rPr>
          <w:rFonts w:eastAsia="Calibri"/>
          <w:szCs w:val="24"/>
        </w:rPr>
        <w:t>. Leidžiamos naudoti nepavojingosios atliekos.</w:t>
      </w:r>
    </w:p>
    <w:p w:rsidR="00502CF5" w:rsidRPr="00AA4367" w:rsidRDefault="00AA4367" w:rsidP="00502CF5">
      <w:pPr>
        <w:rPr>
          <w:szCs w:val="24"/>
        </w:rPr>
      </w:pPr>
      <w:r>
        <w:rPr>
          <w:szCs w:val="24"/>
        </w:rPr>
        <w:t>Lentelė nepildoma, nes atliekos nebus naudojamos.</w:t>
      </w:r>
    </w:p>
    <w:p w:rsidR="00E5706C" w:rsidRDefault="00E5706C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nepavojingosios atliekos.</w:t>
      </w:r>
    </w:p>
    <w:p w:rsidR="00502CF5" w:rsidRDefault="00623C3A" w:rsidP="00502CF5">
      <w:pPr>
        <w:rPr>
          <w:rFonts w:eastAsia="Calibri"/>
          <w:szCs w:val="24"/>
        </w:rPr>
      </w:pPr>
      <w:r w:rsidRPr="00623C3A">
        <w:rPr>
          <w:rFonts w:eastAsia="Calibri"/>
          <w:szCs w:val="24"/>
        </w:rPr>
        <w:t>Lentelė nepildoma, nes atliekos nebus šalinamos.</w:t>
      </w:r>
    </w:p>
    <w:p w:rsidR="00623C3A" w:rsidRPr="00623C3A" w:rsidRDefault="00623C3A" w:rsidP="00502CF5">
      <w:pPr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5 lentelė</w:t>
      </w:r>
      <w:r>
        <w:rPr>
          <w:rFonts w:eastAsia="Calibri"/>
          <w:szCs w:val="24"/>
        </w:rPr>
        <w:t>. Leidžiamos paruošti naudoti ir (ar) šalinti nepavojingosios atliekos.</w:t>
      </w:r>
    </w:p>
    <w:p w:rsidR="00AA4367" w:rsidRDefault="00757EE1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Nebus naudojamos ar šalinamos nepavojingos atliekos.</w:t>
      </w:r>
    </w:p>
    <w:p w:rsidR="00757EE1" w:rsidRDefault="00757EE1" w:rsidP="00502CF5">
      <w:pPr>
        <w:rPr>
          <w:rFonts w:eastAsia="Calibri"/>
          <w:szCs w:val="24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AA6079" w:rsidRDefault="00AA6079" w:rsidP="00502CF5">
      <w:pPr>
        <w:spacing w:line="300" w:lineRule="atLeast"/>
        <w:rPr>
          <w:b/>
          <w:bCs/>
          <w:szCs w:val="24"/>
          <w:lang w:eastAsia="lt-LT"/>
        </w:rPr>
      </w:pPr>
    </w:p>
    <w:p w:rsidR="00502CF5" w:rsidRDefault="00502CF5" w:rsidP="00502CF5">
      <w:pPr>
        <w:spacing w:line="300" w:lineRule="atLeast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lastRenderedPageBreak/>
        <w:t xml:space="preserve">6 lentelė. </w:t>
      </w:r>
      <w:r>
        <w:rPr>
          <w:szCs w:val="24"/>
          <w:lang w:eastAsia="lt-LT"/>
        </w:rPr>
        <w:t>Kitos sąlygos nepavojingųjų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reikalavimus. </w:t>
      </w:r>
    </w:p>
    <w:p w:rsidR="00502CF5" w:rsidRDefault="00502CF5" w:rsidP="00502CF5">
      <w:pPr>
        <w:spacing w:line="300" w:lineRule="atLeast"/>
        <w:rPr>
          <w:szCs w:val="24"/>
          <w:lang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3685"/>
      </w:tblGrid>
      <w:tr w:rsidR="00502CF5" w:rsidTr="00B126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502CF5" w:rsidTr="00B126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F5" w:rsidRDefault="00502CF5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502CF5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F5" w:rsidRDefault="00E5706C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F5" w:rsidRDefault="00B126BF" w:rsidP="00CC44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623C3A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Pr="00623C3A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623C3A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C3A" w:rsidRPr="00623C3A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623C3A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C7CD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126BF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pranešti Aplinkos apsaugos agentūrai apie planuojamus įrenginio eksploatavimo pakeitimus arba veiklos vykdytojo vykdomos ūkinės veiklos pakeitimus.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B126BF" w:rsidP="00B126BF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757EE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B126BF" w:rsidTr="00B126BF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1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BF" w:rsidRDefault="00757EE1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CC445A" w:rsidRDefault="00CC445A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CC445A" w:rsidRDefault="00CC445A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CC445A" w:rsidRDefault="00CC445A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757EE1" w:rsidRDefault="00757EE1" w:rsidP="00502CF5">
      <w:pPr>
        <w:tabs>
          <w:tab w:val="left" w:pos="993"/>
        </w:tabs>
        <w:ind w:firstLine="567"/>
        <w:jc w:val="center"/>
        <w:rPr>
          <w:szCs w:val="24"/>
        </w:rPr>
      </w:pPr>
    </w:p>
    <w:p w:rsidR="00502CF5" w:rsidRDefault="00502CF5" w:rsidP="00502CF5">
      <w:pPr>
        <w:tabs>
          <w:tab w:val="left" w:pos="993"/>
        </w:tabs>
        <w:ind w:firstLine="567"/>
        <w:jc w:val="center"/>
        <w:rPr>
          <w:szCs w:val="24"/>
        </w:rPr>
      </w:pPr>
      <w:r>
        <w:rPr>
          <w:szCs w:val="24"/>
        </w:rPr>
        <w:t>SPECIALIOJI LEIDIMO DALIS</w:t>
      </w:r>
    </w:p>
    <w:p w:rsidR="00502CF5" w:rsidRDefault="00502CF5" w:rsidP="00502CF5">
      <w:pPr>
        <w:tabs>
          <w:tab w:val="left" w:pos="993"/>
        </w:tabs>
        <w:ind w:firstLine="312"/>
        <w:jc w:val="both"/>
        <w:rPr>
          <w:szCs w:val="24"/>
        </w:rPr>
      </w:pP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ATLIEKŲ APDOROJIMAS (NAUDOJIMAS AR ŠALINIMAS, ĮSKAITANT PARUOŠIMĄ NAUDOTI AR ŠALINTI) IR LAIKYMAS</w:t>
      </w:r>
    </w:p>
    <w:p w:rsidR="00502CF5" w:rsidRDefault="00502CF5" w:rsidP="00502CF5">
      <w:pPr>
        <w:ind w:firstLine="567"/>
        <w:jc w:val="center"/>
        <w:rPr>
          <w:rFonts w:eastAsia="Calibri"/>
          <w:b/>
          <w:szCs w:val="24"/>
        </w:rPr>
      </w:pPr>
    </w:p>
    <w:p w:rsidR="00502CF5" w:rsidRDefault="00502CF5" w:rsidP="00502CF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PAVOJINGOSIOS ATLIEKOS</w:t>
      </w:r>
    </w:p>
    <w:p w:rsidR="00502CF5" w:rsidRDefault="00502CF5" w:rsidP="00502CF5">
      <w:pPr>
        <w:jc w:val="center"/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1 lentelė</w:t>
      </w:r>
      <w:r>
        <w:rPr>
          <w:rFonts w:eastAsia="Calibri"/>
          <w:szCs w:val="24"/>
        </w:rPr>
        <w:t xml:space="preserve">. </w:t>
      </w:r>
      <w:r>
        <w:rPr>
          <w:rFonts w:eastAsia="Calibri"/>
          <w:bCs/>
          <w:szCs w:val="24"/>
        </w:rPr>
        <w:t>Didžiausias leidžiamas laikyti pavojingųjų atliekų kiekis.</w:t>
      </w:r>
    </w:p>
    <w:p w:rsidR="00AA4367" w:rsidRDefault="00AA4367" w:rsidP="00502CF5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rPr>
          <w:rFonts w:eastAsia="Calibri"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Įrenginio pavadinimas </w:t>
      </w:r>
      <w:r>
        <w:rPr>
          <w:rFonts w:eastAsia="Calibri"/>
          <w:szCs w:val="24"/>
        </w:rPr>
        <w:sym w:font="Symbol" w:char="F05F"/>
      </w:r>
      <w:r w:rsidR="003724CB" w:rsidRPr="003724CB">
        <w:rPr>
          <w:rFonts w:eastAsia="Calibri"/>
          <w:szCs w:val="24"/>
          <w:u w:val="single"/>
        </w:rPr>
        <w:t xml:space="preserve"> </w:t>
      </w:r>
      <w:r w:rsidR="00AA4367">
        <w:rPr>
          <w:rFonts w:eastAsia="Calibri"/>
          <w:szCs w:val="24"/>
          <w:u w:val="single"/>
        </w:rPr>
        <w:t>UAB „</w:t>
      </w:r>
      <w:r w:rsidR="00757EE1">
        <w:rPr>
          <w:rFonts w:eastAsia="Calibri"/>
          <w:szCs w:val="24"/>
          <w:u w:val="single"/>
        </w:rPr>
        <w:t>Dambava</w:t>
      </w:r>
      <w:r w:rsidR="00AA4367">
        <w:rPr>
          <w:rFonts w:eastAsia="Calibri"/>
          <w:szCs w:val="24"/>
          <w:u w:val="single"/>
        </w:rPr>
        <w:t xml:space="preserve">“ </w:t>
      </w:r>
      <w:r w:rsidR="00757EE1">
        <w:rPr>
          <w:rFonts w:eastAsia="Calibri"/>
          <w:szCs w:val="24"/>
          <w:u w:val="single"/>
        </w:rPr>
        <w:t>eksploatuoti netinkamų transporto priemonių demontavimo ir saugojimo dirbtuvės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502CF5" w:rsidRDefault="00502CF5" w:rsidP="00502CF5">
      <w:pPr>
        <w:rPr>
          <w:sz w:val="10"/>
          <w:szCs w:val="10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01"/>
        <w:gridCol w:w="1418"/>
        <w:gridCol w:w="2835"/>
        <w:gridCol w:w="2693"/>
        <w:gridCol w:w="1984"/>
        <w:gridCol w:w="1701"/>
        <w:gridCol w:w="1418"/>
      </w:tblGrid>
      <w:tr w:rsidR="00502CF5" w:rsidTr="00757EE1">
        <w:trPr>
          <w:cantSplit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žymėjimas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3685" w:type="dxa"/>
            <w:gridSpan w:val="2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Naudojimui ir (ar) šalinimui skirtų atliekų laikymas</w:t>
            </w:r>
          </w:p>
        </w:tc>
        <w:tc>
          <w:tcPr>
            <w:tcW w:w="1418" w:type="dxa"/>
            <w:vMerge w:val="restart"/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Tolimesnis atliekų apdorojimas</w:t>
            </w:r>
          </w:p>
        </w:tc>
      </w:tr>
      <w:tr w:rsidR="00623C3A" w:rsidTr="00757EE1">
        <w:trPr>
          <w:cantSplit/>
          <w:trHeight w:val="855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Laikymo veiklos kodas (R13 ir (ar) D15)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Didžiausias vienu metu leidžiamas laikyti bendras atliekų, įskaitant apdorojimo metu susidarančių atliekų, kiekis, t </w:t>
            </w: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</w:tr>
      <w:tr w:rsidR="00623C3A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02CF5" w:rsidRDefault="00502CF5" w:rsidP="00BC7CD6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23C3A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04*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757EE1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 w:rsidRPr="00D42CE4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laikymas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02CF5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</w:p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623C3A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R12, S5</w:t>
            </w:r>
          </w:p>
        </w:tc>
      </w:tr>
      <w:tr w:rsidR="00D42CE4" w:rsidTr="00B52195">
        <w:trPr>
          <w:cantSplit/>
          <w:trHeight w:val="243"/>
        </w:trPr>
        <w:tc>
          <w:tcPr>
            <w:tcW w:w="15026" w:type="dxa"/>
            <w:gridSpan w:val="8"/>
            <w:tcMar>
              <w:left w:w="28" w:type="dxa"/>
              <w:right w:w="28" w:type="dxa"/>
            </w:tcMar>
            <w:vAlign w:val="center"/>
          </w:tcPr>
          <w:p w:rsidR="00D42CE4" w:rsidRDefault="00D42CE4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Veiklos metu susidarančios ir laikomos pavojingos atliekos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TS-06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Baterijų ir akumuliatorių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D42CE4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06 01*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Švino akumuliatoriai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353651" w:rsidRDefault="00353651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Švino akumuliatoriai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 w:rsidRPr="00D42CE4">
              <w:rPr>
                <w:rFonts w:eastAsia="Calibri"/>
                <w:b/>
                <w:szCs w:val="22"/>
              </w:rPr>
              <w:t>R13</w:t>
            </w:r>
            <w:r>
              <w:rPr>
                <w:rFonts w:eastAsia="Calibri"/>
                <w:szCs w:val="22"/>
              </w:rPr>
              <w:t xml:space="preserve"> – R1-R12 veiklomis naudoti skirtų atliekų laikymas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Naudoti netinkamos transporto priemonės ir jų </w:t>
            </w:r>
            <w:r>
              <w:rPr>
                <w:rFonts w:eastAsia="Calibri"/>
                <w:szCs w:val="22"/>
              </w:rPr>
              <w:lastRenderedPageBreak/>
              <w:t>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16 01 17*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Tepalų filtrai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Tepalų filtrai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3F20B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R4, R12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10*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Sprogios sudedamosios dalys (pvz. oro pagalvės)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3F20B5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Oro pagalvės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R5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21*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Pavojingos sudedamosios dalys, nenurodytos 16 01 07 – 16 01 11, 16 01 13 ir 16 01 14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Transporto priemonių hidrauliniai (tepaliniai) amortizatoriai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21*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Pavojingos sudedamosios dalys, nenurodytos 16 01 07 – 16 01 11, 16 01 13 ir 16 01 14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Oro filtrai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21*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Pavojingos sudedamosios dalys, nenurodytos 16 01 07 – 16 01 11, 16 01 13 ir 16 01 14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Kuro filtrai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R3, R12</w:t>
            </w: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14*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Aušinamieji skysčiai, kuriuose yra pavojingų cheminių medžiagų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Aušinamieji skysčiai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13*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Stabdžių skystis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Stabdžių skystis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R3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TS-02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Alyvų atliekos; nechlorintos nehalogenintos alyvų atliekos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 02 08*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 variklio, pavarų dėžės ir tepalinė alyva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Kita variklio, pavarų dėžės ir tepalinė alyva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757E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BC7CD6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BC7CD6">
            <w:pPr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15 02 </w:t>
            </w:r>
            <w:proofErr w:type="spellStart"/>
            <w:r>
              <w:rPr>
                <w:rFonts w:eastAsia="Calibri"/>
                <w:szCs w:val="22"/>
              </w:rPr>
              <w:t>02</w:t>
            </w:r>
            <w:proofErr w:type="spellEnd"/>
            <w:r>
              <w:rPr>
                <w:rFonts w:eastAsia="Calibri"/>
                <w:szCs w:val="22"/>
              </w:rPr>
              <w:t>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Absorbentai, filtrų medžiagos, (įskaitant kitaip neapibrėžtus tepalų filtrus), pašluostės, apsauginiai drabužiai, užteršti pavojingomis medžiagomis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Absorbentai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</w:t>
            </w:r>
          </w:p>
        </w:tc>
      </w:tr>
      <w:tr w:rsidR="00BC716B" w:rsidTr="00757EE1">
        <w:trPr>
          <w:cantSplit/>
          <w:trHeight w:val="243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BC7CD6">
            <w:pPr>
              <w:rPr>
                <w:rFonts w:eastAsia="Calibri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BC7CD6">
            <w:pPr>
              <w:rPr>
                <w:rFonts w:eastAsia="Calibri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 01 21*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Dienos šviesos lempos ir kitos atliekos, kuriose yra gyvsidabrio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Dienos šviesos lempos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BC716B" w:rsidRPr="00D42CE4" w:rsidRDefault="00BC716B" w:rsidP="00925951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0,01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</w:p>
          <w:p w:rsidR="00BC716B" w:rsidRDefault="00BC716B" w:rsidP="0092595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R5</w:t>
            </w:r>
          </w:p>
        </w:tc>
      </w:tr>
    </w:tbl>
    <w:p w:rsidR="00502CF5" w:rsidRDefault="00502CF5" w:rsidP="00502CF5">
      <w:pPr>
        <w:rPr>
          <w:rFonts w:eastAsia="Calibri"/>
          <w:b/>
          <w:szCs w:val="24"/>
        </w:rPr>
      </w:pPr>
    </w:p>
    <w:p w:rsidR="00353651" w:rsidRDefault="00353651" w:rsidP="00502CF5">
      <w:pPr>
        <w:rPr>
          <w:rFonts w:eastAsia="Calibri"/>
          <w:b/>
          <w:szCs w:val="24"/>
        </w:rPr>
      </w:pPr>
    </w:p>
    <w:p w:rsidR="00353651" w:rsidRDefault="00353651" w:rsidP="00502CF5">
      <w:pPr>
        <w:rPr>
          <w:rFonts w:eastAsia="Calibri"/>
          <w:b/>
          <w:szCs w:val="24"/>
        </w:rPr>
      </w:pPr>
    </w:p>
    <w:p w:rsidR="00353651" w:rsidRDefault="00353651" w:rsidP="00502CF5">
      <w:pPr>
        <w:rPr>
          <w:rFonts w:eastAsia="Calibri"/>
          <w:b/>
          <w:szCs w:val="24"/>
        </w:rPr>
      </w:pPr>
    </w:p>
    <w:p w:rsidR="00353651" w:rsidRDefault="00353651" w:rsidP="00502CF5">
      <w:pPr>
        <w:rPr>
          <w:rFonts w:eastAsia="Calibri"/>
          <w:b/>
          <w:szCs w:val="24"/>
        </w:rPr>
      </w:pPr>
    </w:p>
    <w:p w:rsidR="00353651" w:rsidRDefault="00353651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2 lentelė</w:t>
      </w:r>
      <w:r>
        <w:rPr>
          <w:rFonts w:eastAsia="Calibri"/>
          <w:szCs w:val="24"/>
        </w:rPr>
        <w:t>. Didžiausias leidžiamas laikyti pavojingųjų atliekų kiekis jų susidarymo vietoje iki surinkimo.</w:t>
      </w:r>
    </w:p>
    <w:p w:rsidR="00623C3A" w:rsidRDefault="00BC716B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 w:rsidRPr="00BC716B">
        <w:rPr>
          <w:rFonts w:eastAsia="Calibri"/>
          <w:szCs w:val="24"/>
        </w:rPr>
        <w:t>Lentelė nepildoma.</w:t>
      </w:r>
      <w:r>
        <w:rPr>
          <w:rFonts w:eastAsia="Calibri"/>
          <w:szCs w:val="24"/>
        </w:rPr>
        <w:t xml:space="preserve"> Pavojingos atliekos nebus tvarkomos atliekų tvarkymo veikla S8.</w:t>
      </w:r>
    </w:p>
    <w:p w:rsidR="00BC716B" w:rsidRPr="00BC716B" w:rsidRDefault="00BC716B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4"/>
        </w:rPr>
      </w:pPr>
      <w:r>
        <w:rPr>
          <w:rFonts w:eastAsia="Calibri"/>
          <w:b/>
          <w:szCs w:val="24"/>
        </w:rPr>
        <w:t>3 lentelė</w:t>
      </w:r>
      <w:r>
        <w:rPr>
          <w:rFonts w:eastAsia="Calibri"/>
          <w:szCs w:val="24"/>
        </w:rPr>
        <w:t>. Leidžiamos naudoti pavojingosios atliekos.</w:t>
      </w:r>
    </w:p>
    <w:p w:rsidR="00623C3A" w:rsidRPr="00BC716B" w:rsidRDefault="00BC716B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Pavojingos atliekos nebus naudojamos.</w:t>
      </w:r>
    </w:p>
    <w:p w:rsidR="00950E66" w:rsidRDefault="00950E66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4 lentelė</w:t>
      </w:r>
      <w:r>
        <w:rPr>
          <w:rFonts w:eastAsia="Calibri"/>
          <w:szCs w:val="24"/>
        </w:rPr>
        <w:t>. Leidžiamos šalinti pavojingosios atliekos.</w:t>
      </w:r>
    </w:p>
    <w:p w:rsidR="00502CF5" w:rsidRDefault="00BC716B" w:rsidP="00502CF5">
      <w:pPr>
        <w:rPr>
          <w:rFonts w:eastAsia="Calibri"/>
          <w:szCs w:val="24"/>
        </w:rPr>
      </w:pPr>
      <w:r>
        <w:rPr>
          <w:rFonts w:eastAsia="Calibri"/>
          <w:szCs w:val="24"/>
        </w:rPr>
        <w:t>Lentelė nepildoma. Pavojingos atliekos nebus šalinamos.</w:t>
      </w:r>
    </w:p>
    <w:p w:rsidR="00BC716B" w:rsidRPr="00BC716B" w:rsidRDefault="00BC716B" w:rsidP="00502CF5">
      <w:pPr>
        <w:rPr>
          <w:rFonts w:eastAsia="Calibri"/>
          <w:szCs w:val="24"/>
        </w:rPr>
      </w:pPr>
    </w:p>
    <w:p w:rsidR="00FB7767" w:rsidRDefault="00FB7767" w:rsidP="00FB7767"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5 lentelė</w:t>
      </w:r>
      <w:r>
        <w:rPr>
          <w:rFonts w:eastAsia="Calibri"/>
          <w:szCs w:val="24"/>
        </w:rPr>
        <w:t>. Leidžiamos paruošti naudoti ir (ar) šalinti pavojingosios atliekos.</w:t>
      </w:r>
    </w:p>
    <w:p w:rsidR="00950E66" w:rsidRDefault="00950E66" w:rsidP="00FB7767">
      <w:pPr>
        <w:rPr>
          <w:rFonts w:eastAsia="Calibri"/>
          <w:szCs w:val="24"/>
        </w:rPr>
      </w:pPr>
    </w:p>
    <w:p w:rsidR="00FB7767" w:rsidRDefault="00FB7767" w:rsidP="00FB7767">
      <w:pPr>
        <w:rPr>
          <w:rFonts w:eastAsia="Calibri"/>
          <w:szCs w:val="24"/>
        </w:rPr>
      </w:pPr>
      <w:r>
        <w:rPr>
          <w:rFonts w:eastAsia="Calibri"/>
          <w:szCs w:val="24"/>
        </w:rPr>
        <w:t>Įrenginio pavadinimas</w:t>
      </w:r>
      <w:r>
        <w:rPr>
          <w:rFonts w:eastAsia="Calibri"/>
          <w:szCs w:val="24"/>
        </w:rPr>
        <w:sym w:font="Symbol" w:char="F05F"/>
      </w:r>
      <w:r w:rsidR="00BC716B" w:rsidRPr="00BC716B">
        <w:rPr>
          <w:rFonts w:eastAsia="Calibri"/>
          <w:szCs w:val="24"/>
          <w:u w:val="single"/>
        </w:rPr>
        <w:t xml:space="preserve"> </w:t>
      </w:r>
      <w:r w:rsidR="00BC716B">
        <w:rPr>
          <w:rFonts w:eastAsia="Calibri"/>
          <w:szCs w:val="24"/>
          <w:u w:val="single"/>
        </w:rPr>
        <w:t>UAB „Dambava“ eksploatuoti netinkamų transporto priemonių demontavimo ir saugojimo dirbtuvės</w:t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  <w:r>
        <w:rPr>
          <w:rFonts w:eastAsia="Calibri"/>
          <w:szCs w:val="24"/>
        </w:rPr>
        <w:sym w:font="Symbol" w:char="F05F"/>
      </w:r>
    </w:p>
    <w:p w:rsidR="00950E66" w:rsidRDefault="00950E66" w:rsidP="00FB7767">
      <w:pPr>
        <w:rPr>
          <w:rFonts w:eastAsia="Calibri"/>
          <w:szCs w:val="24"/>
        </w:rPr>
      </w:pPr>
    </w:p>
    <w:p w:rsidR="00FB7767" w:rsidRDefault="00FB7767" w:rsidP="00FB7767">
      <w:pPr>
        <w:rPr>
          <w:sz w:val="10"/>
          <w:szCs w:val="10"/>
        </w:rPr>
      </w:pPr>
    </w:p>
    <w:tbl>
      <w:tblPr>
        <w:tblW w:w="5118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784"/>
        <w:gridCol w:w="1474"/>
        <w:gridCol w:w="3119"/>
        <w:gridCol w:w="2980"/>
        <w:gridCol w:w="2267"/>
        <w:gridCol w:w="1837"/>
      </w:tblGrid>
      <w:tr w:rsidR="00FB7767" w:rsidTr="00BC716B">
        <w:trPr>
          <w:cantSplit/>
          <w:trHeight w:val="300"/>
        </w:trPr>
        <w:tc>
          <w:tcPr>
            <w:tcW w:w="43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</w:t>
            </w:r>
          </w:p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atliekų </w:t>
            </w:r>
            <w:proofErr w:type="spellStart"/>
            <w:r>
              <w:rPr>
                <w:rFonts w:eastAsia="Calibri"/>
                <w:sz w:val="22"/>
                <w:szCs w:val="22"/>
              </w:rPr>
              <w:t>technologi</w:t>
            </w:r>
            <w:r w:rsidR="00BC716B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nio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srauto žymėjimas</w:t>
            </w:r>
          </w:p>
        </w:tc>
        <w:tc>
          <w:tcPr>
            <w:tcW w:w="60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Pavojingųjų atliekų technologinio srauto pavadinimas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kodas</w:t>
            </w:r>
          </w:p>
        </w:tc>
        <w:tc>
          <w:tcPr>
            <w:tcW w:w="1058" w:type="pct"/>
            <w:vMerge w:val="restart"/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Atliekos pavadinimas</w:t>
            </w:r>
          </w:p>
        </w:tc>
        <w:tc>
          <w:tcPr>
            <w:tcW w:w="101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Patikslintas atliekos pavadinimas</w:t>
            </w:r>
          </w:p>
        </w:tc>
        <w:tc>
          <w:tcPr>
            <w:tcW w:w="1392" w:type="pct"/>
            <w:gridSpan w:val="2"/>
            <w:tcMar>
              <w:left w:w="57" w:type="dxa"/>
              <w:right w:w="57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Atliekų paruošimas naudoti ir (ar) šalinti</w:t>
            </w:r>
          </w:p>
        </w:tc>
      </w:tr>
      <w:tr w:rsidR="00FB7767" w:rsidTr="00BC716B">
        <w:trPr>
          <w:cantSplit/>
          <w:trHeight w:val="855"/>
        </w:trPr>
        <w:tc>
          <w:tcPr>
            <w:tcW w:w="434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</w:p>
        </w:tc>
        <w:tc>
          <w:tcPr>
            <w:tcW w:w="605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58" w:type="pct"/>
            <w:vMerge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011" w:type="pct"/>
            <w:vMerge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69" w:type="pc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Atliekos paruošimo naudoti ir (ar) šalinti veiklos kodas (D8, D9, D13, D14, R12, S5) </w:t>
            </w:r>
          </w:p>
        </w:tc>
        <w:tc>
          <w:tcPr>
            <w:tcW w:w="623" w:type="pct"/>
            <w:tcMar>
              <w:left w:w="57" w:type="dxa"/>
              <w:right w:w="57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Projektinis įrenginio pajėgumas t/m.</w:t>
            </w:r>
          </w:p>
        </w:tc>
      </w:tr>
      <w:tr w:rsidR="00FB7767" w:rsidTr="00BC716B">
        <w:trPr>
          <w:cantSplit/>
          <w:trHeight w:val="243"/>
        </w:trPr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58" w:type="pct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11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69" w:type="pct"/>
            <w:tcMar>
              <w:left w:w="28" w:type="dxa"/>
              <w:right w:w="28" w:type="dxa"/>
            </w:tcMar>
            <w:vAlign w:val="center"/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23" w:type="pct"/>
            <w:tcMar>
              <w:left w:w="28" w:type="dxa"/>
              <w:right w:w="28" w:type="dxa"/>
            </w:tcMar>
          </w:tcPr>
          <w:p w:rsidR="00FB7767" w:rsidRDefault="00FB7767" w:rsidP="0046294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6D0A60" w:rsidTr="003A3E59">
        <w:trPr>
          <w:cantSplit/>
          <w:trHeight w:val="1380"/>
        </w:trPr>
        <w:tc>
          <w:tcPr>
            <w:tcW w:w="434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BC71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TS-10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BC716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Naudoti netinkamos transporto priemonės ir jų atliekos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 01 04*</w:t>
            </w:r>
          </w:p>
        </w:tc>
        <w:tc>
          <w:tcPr>
            <w:tcW w:w="1058" w:type="pct"/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1011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Eksploatuoti netinkamos transporto priemonės</w:t>
            </w:r>
          </w:p>
        </w:tc>
        <w:tc>
          <w:tcPr>
            <w:tcW w:w="769" w:type="pct"/>
            <w:tcMar>
              <w:left w:w="28" w:type="dxa"/>
              <w:right w:w="28" w:type="dxa"/>
            </w:tcMar>
            <w:vAlign w:val="center"/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R12, S5</w:t>
            </w:r>
          </w:p>
        </w:tc>
        <w:tc>
          <w:tcPr>
            <w:tcW w:w="623" w:type="pct"/>
            <w:tcMar>
              <w:left w:w="28" w:type="dxa"/>
              <w:right w:w="28" w:type="dxa"/>
            </w:tcMar>
          </w:tcPr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</w:p>
          <w:p w:rsidR="006D0A60" w:rsidRDefault="006D0A60" w:rsidP="00AA607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500</w:t>
            </w:r>
          </w:p>
        </w:tc>
      </w:tr>
    </w:tbl>
    <w:p w:rsidR="00FB7767" w:rsidRDefault="00FB7767" w:rsidP="00FB7767">
      <w:pPr>
        <w:tabs>
          <w:tab w:val="left" w:pos="993"/>
        </w:tabs>
        <w:jc w:val="both"/>
        <w:rPr>
          <w:szCs w:val="24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AA6079" w:rsidRDefault="00AA6079" w:rsidP="00FB7767">
      <w:pPr>
        <w:spacing w:line="300" w:lineRule="atLeast"/>
        <w:jc w:val="both"/>
        <w:rPr>
          <w:b/>
          <w:bCs/>
          <w:szCs w:val="24"/>
          <w:lang w:eastAsia="lt-LT"/>
        </w:rPr>
      </w:pPr>
    </w:p>
    <w:p w:rsidR="00FB7767" w:rsidRDefault="00FB7767" w:rsidP="00FB7767">
      <w:pPr>
        <w:spacing w:line="300" w:lineRule="atLeast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lastRenderedPageBreak/>
        <w:t xml:space="preserve">6 lentelė. </w:t>
      </w:r>
      <w:r>
        <w:rPr>
          <w:szCs w:val="24"/>
          <w:lang w:eastAsia="lt-LT"/>
        </w:rPr>
        <w:t>Kitos sąlygos pavojingųjų atliekų apdorojimui (naudojimui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ar šalinimui, įskaitant paruošimą naudoti ar šalinti) ir laikymui</w:t>
      </w:r>
      <w:r>
        <w:rPr>
          <w:szCs w:val="24"/>
          <w:lang w:eastAsia="lt-LT"/>
        </w:rPr>
        <w:t xml:space="preserve"> pagal aplinkos apsaugą reglamentuojančių teisės aktų  reikalavimus.</w:t>
      </w:r>
    </w:p>
    <w:p w:rsidR="00FB7767" w:rsidRDefault="00FB7767" w:rsidP="00FB7767">
      <w:pPr>
        <w:spacing w:line="300" w:lineRule="atLeast"/>
        <w:ind w:firstLine="60"/>
        <w:rPr>
          <w:szCs w:val="24"/>
          <w:lang w:eastAsia="lt-LT"/>
        </w:rPr>
      </w:pPr>
    </w:p>
    <w:tbl>
      <w:tblPr>
        <w:tblW w:w="15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4317"/>
      </w:tblGrid>
      <w:tr w:rsidR="00FB7767" w:rsidTr="00AA60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Sąlygos</w:t>
            </w:r>
          </w:p>
        </w:tc>
      </w:tr>
      <w:tr w:rsidR="00FB7767" w:rsidTr="00AA607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67" w:rsidRDefault="00FB7767" w:rsidP="0046294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Atliekos turi būti tvarkomos vadovaujantis LR atliekų tvarkymo įstatymo, LR aplinkos ministro 1999-07-14 įsakymu Nr. 217 patvirtintų  Atliekų tvarkymo taisyklių ir kitų specifinių atliekų srautų tvarkymą reglamentuojančių teisės aktų reikalavimais.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Vadovautis LR aplinkos ministro 2003-12-19 įsakymu Nr. 684 patvirtintų Pavojingų atliekų tvarkymo licencijavimo taisyklių bei pavojingas atliekas tvarkančių įmonių darbuotojams taikomų kvalifikacinių reikalavimų ir atestavimo tvarkos nuostatomis.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Pr="00623C3A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Ūkinę veiklą vykdyti laikantis Atliekų naudojimo ar šalinimo techniniame reglamente nurodytų procedūrų.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Pr="00623C3A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Ne vėliau kaip prieš 6 savaites iki Garantijos galiojimo pabaigos įmonė turi pateikti Aplinkos apsaugos agentūrai naują ar pratęstą garantiją.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Vykdyti atliekų apskaitą vadovaujantis LR aplinkos ministro 2011-05-03 įsakymu Nr. D1-367 patvirtintų Atliekų susidarymo ir tvarkymo apskaitos ir ataskaitų teikimo taisyklių reikalavimais.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reguliariai ir laiku kompetentingoms aplinkos apsaugos institucijoms teikti reikiamas ataskaitas.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Veiklos vykdytojas privalo pranešti Aplinkos apsaugos agentūrai apie planuojamus įrenginio eksploatavimo pakeitimus arba veiklos vykdytojo vykdomos ūkinės veiklos pakeitimus.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Pasikeitus Atliekų tvarkytojų valstybės registro (toliau – ATVR) objekto duomenims ir informacijai, atliekas tvarkanti įmonė per 20 darbo dienų nuo duomenų pasikeitimo privalo atnaujinti registraciją ATVR.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Vykdant ūkinę veiklą veiklos vykdytojas privalo imtis priemonių, būtinų taršai apriboti ar išvengti, o įvykus incidentui, privalo imtis LR teisės aktais numatytų veiksmų neigiamam poveikiui aplinkai ir žmonių sveikatai stabdyti ir pašalinti.</w:t>
            </w:r>
          </w:p>
        </w:tc>
      </w:tr>
      <w:tr w:rsidR="00AA6079" w:rsidTr="00AA6079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353651" w:rsidP="0092595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="00AA6079">
              <w:rPr>
                <w:szCs w:val="24"/>
                <w:lang w:eastAsia="lt-LT"/>
              </w:rPr>
              <w:t>.</w:t>
            </w:r>
          </w:p>
        </w:tc>
        <w:tc>
          <w:tcPr>
            <w:tcW w:w="14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79" w:rsidRDefault="00AA6079" w:rsidP="00925951">
            <w:pPr>
              <w:pStyle w:val="Default"/>
              <w:spacing w:after="59"/>
              <w:rPr>
                <w:iCs/>
              </w:rPr>
            </w:pPr>
            <w:r>
              <w:rPr>
                <w:iCs/>
              </w:rPr>
              <w:t>Nutraukiant atliekų tvarkymo veiklą veiklos vykdytojas privalo įgyvendinti Atliekų naudojimo ar šalinimo veiklos nutraukimo plane numatytas priemones.</w:t>
            </w:r>
          </w:p>
        </w:tc>
      </w:tr>
    </w:tbl>
    <w:p w:rsidR="00FB7767" w:rsidRDefault="00FB7767" w:rsidP="00502CF5">
      <w:pPr>
        <w:rPr>
          <w:rFonts w:eastAsia="Calibri"/>
          <w:b/>
          <w:szCs w:val="24"/>
        </w:rPr>
      </w:pPr>
    </w:p>
    <w:p w:rsidR="00FB7767" w:rsidRDefault="00FB7767" w:rsidP="00502CF5">
      <w:pPr>
        <w:rPr>
          <w:rFonts w:eastAsia="Calibri"/>
          <w:b/>
          <w:szCs w:val="24"/>
        </w:rPr>
      </w:pPr>
    </w:p>
    <w:p w:rsidR="00502CF5" w:rsidRDefault="00502CF5" w:rsidP="00502CF5">
      <w:pPr>
        <w:tabs>
          <w:tab w:val="left" w:pos="9781"/>
        </w:tabs>
        <w:spacing w:line="300" w:lineRule="atLeast"/>
        <w:ind w:left="284" w:firstLine="5245"/>
        <w:jc w:val="both"/>
        <w:sectPr w:rsidR="00502CF5">
          <w:pgSz w:w="16838" w:h="11906" w:orient="landscape"/>
          <w:pgMar w:top="1418" w:right="1418" w:bottom="595" w:left="1134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TARŠOS LEIDIMO NR.</w:t>
      </w:r>
      <w:r w:rsidR="00623C3A">
        <w:rPr>
          <w:rFonts w:eastAsia="Calibri"/>
          <w:b/>
          <w:szCs w:val="24"/>
          <w:lang w:eastAsia="lt-LT"/>
        </w:rPr>
        <w:t xml:space="preserve"> </w:t>
      </w:r>
      <w:r w:rsidR="00623C3A" w:rsidRPr="00BC7CD6">
        <w:rPr>
          <w:b/>
          <w:szCs w:val="24"/>
          <w:u w:val="single"/>
          <w:lang w:eastAsia="lt-LT"/>
        </w:rPr>
        <w:t>TL-M.</w:t>
      </w:r>
      <w:r w:rsidR="00AA6079">
        <w:rPr>
          <w:b/>
          <w:szCs w:val="24"/>
          <w:u w:val="single"/>
          <w:lang w:eastAsia="lt-LT"/>
        </w:rPr>
        <w:t>3</w:t>
      </w:r>
      <w:r w:rsidR="00623C3A" w:rsidRPr="00BC7CD6">
        <w:rPr>
          <w:b/>
          <w:szCs w:val="24"/>
          <w:u w:val="single"/>
          <w:lang w:eastAsia="lt-LT"/>
        </w:rPr>
        <w:t>-5</w:t>
      </w:r>
      <w:r w:rsidR="00AA6079">
        <w:rPr>
          <w:b/>
          <w:szCs w:val="24"/>
          <w:u w:val="single"/>
          <w:lang w:eastAsia="lt-LT"/>
        </w:rPr>
        <w:t>3</w:t>
      </w:r>
      <w:r w:rsidR="00623C3A" w:rsidRPr="00BC7CD6">
        <w:rPr>
          <w:b/>
          <w:szCs w:val="24"/>
          <w:u w:val="single"/>
          <w:lang w:eastAsia="lt-LT"/>
        </w:rPr>
        <w:t>/2016</w:t>
      </w:r>
      <w:r>
        <w:rPr>
          <w:rFonts w:eastAsia="Calibri"/>
          <w:b/>
          <w:szCs w:val="24"/>
          <w:lang w:eastAsia="lt-LT"/>
        </w:rPr>
        <w:t xml:space="preserve"> 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1.</w:t>
      </w:r>
      <w:r w:rsidR="00623C3A">
        <w:rPr>
          <w:rFonts w:eastAsia="Calibri"/>
          <w:szCs w:val="24"/>
          <w:lang w:eastAsia="lt-LT"/>
        </w:rPr>
        <w:t xml:space="preserve"> </w:t>
      </w:r>
      <w:r w:rsidR="00C41E71">
        <w:rPr>
          <w:rFonts w:eastAsia="Calibri"/>
          <w:szCs w:val="24"/>
          <w:lang w:eastAsia="lt-LT"/>
        </w:rPr>
        <w:t>Paraiška taršos leidimui gauti su pridedamais priedais;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2.</w:t>
      </w:r>
      <w:r w:rsidR="00C41E71">
        <w:rPr>
          <w:rFonts w:eastAsia="Calibri"/>
          <w:szCs w:val="24"/>
          <w:lang w:eastAsia="lt-LT"/>
        </w:rPr>
        <w:t xml:space="preserve"> Atliekų naudojimo ar šalinimo techninis reglamentas;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3.</w:t>
      </w:r>
      <w:r w:rsidR="00C41E71">
        <w:rPr>
          <w:rFonts w:eastAsia="Calibri"/>
          <w:szCs w:val="24"/>
          <w:lang w:eastAsia="lt-LT"/>
        </w:rPr>
        <w:t>Atliekų naudojimo ar šalinimo veiklos nutraukimo planas.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__</w:t>
      </w:r>
      <w:r w:rsidR="00C41E71">
        <w:rPr>
          <w:rFonts w:eastAsia="Calibri"/>
          <w:szCs w:val="24"/>
          <w:u w:val="single"/>
          <w:lang w:eastAsia="lt-LT"/>
        </w:rPr>
        <w:t>2016</w:t>
      </w:r>
      <w:r>
        <w:rPr>
          <w:rFonts w:eastAsia="Calibri"/>
          <w:szCs w:val="24"/>
          <w:lang w:eastAsia="lt-LT"/>
        </w:rPr>
        <w:t>____ m. __</w:t>
      </w:r>
      <w:r w:rsidR="00AA6079" w:rsidRPr="00AA6079">
        <w:rPr>
          <w:rFonts w:eastAsia="Calibri"/>
          <w:szCs w:val="24"/>
          <w:u w:val="single"/>
          <w:lang w:eastAsia="lt-LT"/>
        </w:rPr>
        <w:t>liepos</w:t>
      </w:r>
      <w:r w:rsidR="00C41E71">
        <w:rPr>
          <w:rFonts w:eastAsia="Calibri"/>
          <w:szCs w:val="24"/>
          <w:u w:val="single"/>
          <w:lang w:eastAsia="lt-LT"/>
        </w:rPr>
        <w:t xml:space="preserve">   </w:t>
      </w:r>
      <w:r>
        <w:rPr>
          <w:rFonts w:eastAsia="Calibri"/>
          <w:szCs w:val="24"/>
          <w:lang w:eastAsia="lt-LT"/>
        </w:rPr>
        <w:t>_____ d.</w:t>
      </w:r>
    </w:p>
    <w:p w:rsidR="00502CF5" w:rsidRDefault="00502CF5" w:rsidP="00502CF5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rFonts w:eastAsia="Calibri"/>
          <w:szCs w:val="24"/>
          <w:lang w:eastAsia="lt-LT"/>
        </w:rPr>
      </w:pPr>
    </w:p>
    <w:p w:rsidR="00C41E71" w:rsidRDefault="00C41E71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jc w:val="both"/>
        <w:rPr>
          <w:rFonts w:eastAsia="Calibri"/>
          <w:szCs w:val="24"/>
          <w:lang w:eastAsia="lt-LT"/>
        </w:rPr>
      </w:pPr>
    </w:p>
    <w:p w:rsidR="00AA6079" w:rsidRDefault="00AA6079" w:rsidP="00C41E71">
      <w:pPr>
        <w:tabs>
          <w:tab w:val="right" w:pos="9071"/>
        </w:tabs>
      </w:pPr>
    </w:p>
    <w:p w:rsidR="00C41E71" w:rsidRDefault="00C41E71" w:rsidP="00C41E71">
      <w:pPr>
        <w:tabs>
          <w:tab w:val="right" w:pos="9071"/>
        </w:tabs>
      </w:pPr>
      <w:r>
        <w:t xml:space="preserve">Direktoriaus įgaliota </w:t>
      </w:r>
    </w:p>
    <w:p w:rsidR="00C41E71" w:rsidRDefault="00C41E71" w:rsidP="00C41E71">
      <w:pPr>
        <w:tabs>
          <w:tab w:val="right" w:pos="9071"/>
        </w:tabs>
      </w:pPr>
      <w:r>
        <w:t>Poveikio aplinkai vertinimo</w:t>
      </w:r>
    </w:p>
    <w:p w:rsidR="00C41E71" w:rsidRPr="0028505A" w:rsidRDefault="00C41E71" w:rsidP="00C41E71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C41E71" w:rsidRDefault="00C41E71" w:rsidP="00C41E71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</w:t>
      </w:r>
      <w:r w:rsidRPr="0028505A">
        <w:rPr>
          <w:sz w:val="20"/>
        </w:rPr>
        <w:t>(parašas)</w:t>
      </w:r>
    </w:p>
    <w:p w:rsidR="00C41E71" w:rsidRDefault="00C41E71" w:rsidP="00C41E71">
      <w:pPr>
        <w:tabs>
          <w:tab w:val="right" w:pos="8040"/>
        </w:tabs>
        <w:ind w:left="1920"/>
        <w:rPr>
          <w:sz w:val="20"/>
        </w:rPr>
      </w:pPr>
    </w:p>
    <w:p w:rsidR="00C41E71" w:rsidRPr="0028505A" w:rsidRDefault="00C41E71" w:rsidP="00C41E71">
      <w:pPr>
        <w:tabs>
          <w:tab w:val="right" w:pos="8040"/>
        </w:tabs>
        <w:ind w:left="1920"/>
        <w:rPr>
          <w:sz w:val="20"/>
        </w:rPr>
      </w:pPr>
    </w:p>
    <w:p w:rsidR="00C41E71" w:rsidRDefault="00C41E71" w:rsidP="00C41E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80"/>
        <w:rPr>
          <w:rFonts w:eastAsia="Calibri"/>
          <w:szCs w:val="24"/>
          <w:lang w:eastAsia="lt-LT"/>
        </w:rPr>
      </w:pPr>
      <w:r>
        <w:t xml:space="preserve">                             A.V.                                                                                                                                            </w:t>
      </w:r>
    </w:p>
    <w:p w:rsidR="000138CF" w:rsidRDefault="00C41E71">
      <w:r>
        <w:t xml:space="preserve">          </w:t>
      </w:r>
    </w:p>
    <w:sectPr w:rsidR="000138CF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F6" w:rsidRDefault="00CE28F6" w:rsidP="00903298">
      <w:r>
        <w:separator/>
      </w:r>
    </w:p>
  </w:endnote>
  <w:endnote w:type="continuationSeparator" w:id="0">
    <w:p w:rsidR="00CE28F6" w:rsidRDefault="00CE28F6" w:rsidP="0090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F6" w:rsidRDefault="00CE28F6" w:rsidP="00903298">
      <w:r>
        <w:separator/>
      </w:r>
    </w:p>
  </w:footnote>
  <w:footnote w:type="continuationSeparator" w:id="0">
    <w:p w:rsidR="00CE28F6" w:rsidRDefault="00CE28F6" w:rsidP="00903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D6" w:rsidRDefault="00B5567D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BC7CD6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B405AE">
      <w:rPr>
        <w:rFonts w:eastAsia="Calibri"/>
        <w:noProof/>
        <w:szCs w:val="24"/>
      </w:rPr>
      <w:t>7</w:t>
    </w:r>
    <w:r>
      <w:rPr>
        <w:rFonts w:eastAsia="Calibri"/>
        <w:szCs w:val="24"/>
      </w:rPr>
      <w:fldChar w:fldCharType="end"/>
    </w:r>
  </w:p>
  <w:p w:rsidR="00BC7CD6" w:rsidRDefault="00BC7CD6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E7182"/>
    <w:rsid w:val="00122623"/>
    <w:rsid w:val="002D1EBE"/>
    <w:rsid w:val="00346638"/>
    <w:rsid w:val="00353651"/>
    <w:rsid w:val="003724CB"/>
    <w:rsid w:val="003A1444"/>
    <w:rsid w:val="003A43B1"/>
    <w:rsid w:val="003D015B"/>
    <w:rsid w:val="003D596D"/>
    <w:rsid w:val="003F20B5"/>
    <w:rsid w:val="00441061"/>
    <w:rsid w:val="004771BD"/>
    <w:rsid w:val="00502CF5"/>
    <w:rsid w:val="005371A2"/>
    <w:rsid w:val="005528B4"/>
    <w:rsid w:val="005E73C0"/>
    <w:rsid w:val="005F7673"/>
    <w:rsid w:val="00623C3A"/>
    <w:rsid w:val="00692297"/>
    <w:rsid w:val="006D0A60"/>
    <w:rsid w:val="00757EE1"/>
    <w:rsid w:val="007C4803"/>
    <w:rsid w:val="007F6BA9"/>
    <w:rsid w:val="0088782C"/>
    <w:rsid w:val="008A3C5E"/>
    <w:rsid w:val="009002B5"/>
    <w:rsid w:val="00903298"/>
    <w:rsid w:val="009268CA"/>
    <w:rsid w:val="00950E66"/>
    <w:rsid w:val="00975C32"/>
    <w:rsid w:val="00A64D92"/>
    <w:rsid w:val="00AA4367"/>
    <w:rsid w:val="00AA6079"/>
    <w:rsid w:val="00AE7622"/>
    <w:rsid w:val="00B04C68"/>
    <w:rsid w:val="00B126BF"/>
    <w:rsid w:val="00B405AE"/>
    <w:rsid w:val="00B5567D"/>
    <w:rsid w:val="00B9774B"/>
    <w:rsid w:val="00BA0ECA"/>
    <w:rsid w:val="00BC716B"/>
    <w:rsid w:val="00BC7CD6"/>
    <w:rsid w:val="00C41E71"/>
    <w:rsid w:val="00CC445A"/>
    <w:rsid w:val="00CE28F6"/>
    <w:rsid w:val="00D01B36"/>
    <w:rsid w:val="00D42CE4"/>
    <w:rsid w:val="00DA66F0"/>
    <w:rsid w:val="00E134F3"/>
    <w:rsid w:val="00E46B77"/>
    <w:rsid w:val="00E5706C"/>
    <w:rsid w:val="00F16308"/>
    <w:rsid w:val="00FA6952"/>
    <w:rsid w:val="00FB6ED1"/>
    <w:rsid w:val="00FB7293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3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Hyperlink">
    <w:name w:val="Hyperlink"/>
    <w:rsid w:val="00FA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bdamba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7944</Words>
  <Characters>4529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5</cp:revision>
  <cp:lastPrinted>2016-07-27T06:56:00Z</cp:lastPrinted>
  <dcterms:created xsi:type="dcterms:W3CDTF">2016-07-26T13:47:00Z</dcterms:created>
  <dcterms:modified xsi:type="dcterms:W3CDTF">2016-07-27T07:03:00Z</dcterms:modified>
</cp:coreProperties>
</file>